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Vážení rodiče,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Ve dne 13. 10. 2021</w:t>
      </w:r>
      <w:r>
        <w:rPr>
          <w:rFonts w:ascii="Arial" w:hAnsi="Arial" w:cs="Arial"/>
          <w:color w:val="5B9BD5"/>
          <w:bdr w:val="none" w:sz="0" w:space="0" w:color="auto" w:frame="1"/>
        </w:rPr>
        <w:t> </w:t>
      </w:r>
      <w:r>
        <w:rPr>
          <w:rFonts w:ascii="Arial" w:hAnsi="Arial" w:cs="Arial"/>
          <w:color w:val="201F1E"/>
          <w:bdr w:val="none" w:sz="0" w:space="0" w:color="auto" w:frame="1"/>
        </w:rPr>
        <w:t>bylo Vaše dítě v kontaktu s osobou, která je COVID-19 pozitivní. Epidemiologickým šetřením byly shledány důvody pro karanténní opatření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do 27. 10. 2021 včetně, na základě docházky ve škole.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Karanténní opatření stanovená mimořádným opatřením MZ ČR aktuálně zahrnují</w:t>
      </w:r>
      <w:r>
        <w:rPr>
          <w:rFonts w:ascii="Arial" w:hAnsi="Arial" w:cs="Arial"/>
          <w:color w:val="201F1E"/>
          <w:bdr w:val="none" w:sz="0" w:space="0" w:color="auto" w:frame="1"/>
        </w:rPr>
        <w:t>: </w:t>
      </w:r>
      <w:r>
        <w:rPr>
          <w:rFonts w:ascii="Arial" w:hAnsi="Arial" w:cs="Arial"/>
          <w:b/>
          <w:bCs/>
          <w:color w:val="201F1E"/>
          <w:u w:val="single"/>
          <w:bdr w:val="none" w:sz="0" w:space="0" w:color="auto" w:frame="1"/>
        </w:rPr>
        <w:t>domácí karanténu</w:t>
      </w:r>
      <w:r>
        <w:rPr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201F1E"/>
          <w:u w:val="single"/>
          <w:bdr w:val="none" w:sz="0" w:space="0" w:color="auto" w:frame="1"/>
        </w:rPr>
        <w:t>minimálně po dobu 14 dnů a vyšetření výtěr z krku a z nosu (RT-PCR test na přítomnost viru SARS-CoV-2)</w:t>
      </w:r>
      <w:r>
        <w:rPr>
          <w:rFonts w:ascii="Arial" w:hAnsi="Arial" w:cs="Arial"/>
          <w:color w:val="201F1E"/>
          <w:bdr w:val="none" w:sz="0" w:space="0" w:color="auto" w:frame="1"/>
        </w:rPr>
        <w:t> v rozmezí 5. až 7. dne od posledního kontaktu s pozitivně testovanou osobou, nejpozději však do 10. dne.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Mimořádné opatření MZ ČR viz: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hyperlink r:id="rId4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https://koronavirus.mzcr.cz/wp-content/uploads/2021/03/Mimo%C5%99%C3%A1dn%C3%A9-opat%C5%99en%C3%AD-%E2%80%93-na%C5%99%C3%ADzen%C3%AD-izolace-a-karant%C3%A9ny-s-%C3%BA%C4%8Dinnost%C3%AD-od-3.-3.-2021-do-odvol%C3%A1n%C3%AD.pdf</w:t>
        </w:r>
      </w:hyperlink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aktualizace k 15. 6. 2021 (změna karantény očkovaných)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hyperlink r:id="rId5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https://www.mzcr.cz/wp-content/uploads/2021/06/Zmena-mimoradneho-opatreni-ze-dne-2-3-2021-k-narizeni-izolace-a-karanteny-s-ucinnosti-od-15-6-2021-do-odvolani.pdf</w:t>
        </w:r>
      </w:hyperlink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Pokud bude Vaše dítě bez klinických obtíží a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výsledek z odběru/PCR testu bude negativní, </w:t>
      </w:r>
      <w:r>
        <w:rPr>
          <w:rFonts w:ascii="Arial" w:hAnsi="Arial" w:cs="Arial"/>
          <w:color w:val="201F1E"/>
          <w:bdr w:val="none" w:sz="0" w:space="0" w:color="auto" w:frame="1"/>
        </w:rPr>
        <w:t>karanténa končí v termínu 27. 10. 2021 včetně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.</w:t>
      </w:r>
      <w:r>
        <w:rPr>
          <w:rFonts w:ascii="Arial" w:hAnsi="Arial" w:cs="Arial"/>
          <w:color w:val="201F1E"/>
          <w:bdr w:val="none" w:sz="0" w:space="0" w:color="auto" w:frame="1"/>
        </w:rPr>
        <w:t> Zdravotní stav dítěte v průběhu karantény doporučujeme telefonicky konzultovat s lékařem (pediatrem).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Karanténa se nenařídí osobám</w:t>
      </w:r>
      <w:r>
        <w:rPr>
          <w:rFonts w:ascii="Arial" w:hAnsi="Arial" w:cs="Arial"/>
          <w:color w:val="201F1E"/>
          <w:bdr w:val="none" w:sz="0" w:space="0" w:color="auto" w:frame="1"/>
        </w:rPr>
        <w:t>, které prodělaly laboratorně potvrzené onemocnění COVID-19, u kterých uplynula doba izolace podle platného mimořádného opatření Ministerstva zdravotnictví, nejeví žádné příznaky onemocnění COVID-19 a od prvního pozitivního RT-PCR testu na přítomnost viru SARS-CoV-2 nebo POC antigenního testu na přítomnost antigenu viru SARS-CoV-2 neuplynulo více než 180 dní. Tyto skutečnosti se prokazují lékařskou zprávou.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Karanténa se nenařídí také osobám po ukončeném očkování, tj. </w:t>
      </w:r>
      <w:r>
        <w:rPr>
          <w:color w:val="201F1E"/>
        </w:rPr>
        <w:t> </w:t>
      </w:r>
      <w:r>
        <w:rPr>
          <w:rFonts w:ascii="Arial" w:hAnsi="Arial" w:cs="Arial"/>
          <w:color w:val="201F1E"/>
          <w:bdr w:val="none" w:sz="0" w:space="0" w:color="auto" w:frame="1"/>
        </w:rPr>
        <w:t>osobám, které byly očkovány proti onemocnění COVID-19 a mají vystavený národní certifikát o provedeném očkování, které je písemným potvrzením vydaným alespoň v anglickém jazyce oprávněným subjektem působícím v České republice, v jiném členském státě Evropské unie nebo ve státě, který je uveden ve Sdělení Ministerstva zdravotnictví jako země nebo její část s nízkým rizikem nákazy onemocnění COVID-19, jehož vzor je zveřejněn v seznamu uznaných národních certifikátů na internetových stránkách Ministerstva zdravotnictví České republiky, které obsahuje údaje o očkované osobě, podanému typu vakcíny, datu podání vakcíny, identifikaci subjektu, který potvrzení vydal, s tím, že u očkování uplynulo od aplikace druhé dávky očkovací látky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v případě </w:t>
      </w:r>
      <w:proofErr w:type="spellStart"/>
      <w:r>
        <w:rPr>
          <w:rFonts w:ascii="Arial" w:hAnsi="Arial" w:cs="Arial"/>
          <w:b/>
          <w:bCs/>
          <w:color w:val="201F1E"/>
          <w:bdr w:val="none" w:sz="0" w:space="0" w:color="auto" w:frame="1"/>
        </w:rPr>
        <w:t>dvoudávkového</w:t>
      </w:r>
      <w:proofErr w:type="spellEnd"/>
      <w:r>
        <w:rPr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schématu</w:t>
      </w:r>
      <w:r>
        <w:rPr>
          <w:rFonts w:ascii="Arial" w:hAnsi="Arial" w:cs="Arial"/>
          <w:color w:val="201F1E"/>
          <w:bdr w:val="none" w:sz="0" w:space="0" w:color="auto" w:frame="1"/>
        </w:rPr>
        <w:t> podle souhrnu údajů o léčivém přípravku (dále jen „SPC“)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nejméně 14 dní</w:t>
      </w:r>
      <w:r>
        <w:rPr>
          <w:rFonts w:ascii="Arial" w:hAnsi="Arial" w:cs="Arial"/>
          <w:color w:val="201F1E"/>
          <w:bdr w:val="none" w:sz="0" w:space="0" w:color="auto" w:frame="1"/>
        </w:rPr>
        <w:t>, nebo od aplikace první dávky očkovací látky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v případě </w:t>
      </w:r>
      <w:proofErr w:type="spellStart"/>
      <w:r>
        <w:rPr>
          <w:rFonts w:ascii="Arial" w:hAnsi="Arial" w:cs="Arial"/>
          <w:b/>
          <w:bCs/>
          <w:color w:val="201F1E"/>
          <w:bdr w:val="none" w:sz="0" w:space="0" w:color="auto" w:frame="1"/>
        </w:rPr>
        <w:t>jednodávkového</w:t>
      </w:r>
      <w:proofErr w:type="spellEnd"/>
      <w:r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 schématu podle SPC nejméně 14 dnů</w:t>
      </w:r>
      <w:r>
        <w:rPr>
          <w:rFonts w:ascii="Arial" w:hAnsi="Arial" w:cs="Arial"/>
          <w:color w:val="201F1E"/>
          <w:bdr w:val="none" w:sz="0" w:space="0" w:color="auto" w:frame="1"/>
        </w:rPr>
        <w:t>,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a očkovaná osoba 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lastRenderedPageBreak/>
        <w:t>nejeví žádné příznaky onemocnění COVID-19.</w:t>
      </w:r>
      <w:r>
        <w:rPr>
          <w:rFonts w:ascii="Arial" w:hAnsi="Arial" w:cs="Arial"/>
          <w:color w:val="201F1E"/>
          <w:bdr w:val="none" w:sz="0" w:space="0" w:color="auto" w:frame="1"/>
        </w:rPr>
        <w:t> V případě výskytu příznaků onemocnění COVID-19 v následujících 14 dnech od posledního úzkého kontaktu s pozitivně testovanou osobou se nařídí podstoupit RT-PCR test na přítomnost viru SARS-CoV-2 a osobám s pozitivním výsledkem tohoto testu se nařídí izolace.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Seznam odběrových míst včetně pravidel pro návštěvu odběrového místa naleznete zde:</w:t>
      </w:r>
      <w:r>
        <w:rPr>
          <w:rFonts w:ascii="Arial" w:hAnsi="Arial" w:cs="Arial"/>
          <w:color w:val="201F1E"/>
          <w:bdr w:val="none" w:sz="0" w:space="0" w:color="auto" w:frame="1"/>
        </w:rPr>
        <w:br/>
      </w:r>
      <w:hyperlink r:id="rId6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https://testovani.uzis.cz/</w:t>
        </w:r>
      </w:hyperlink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Při karanténě je nutné zůstat v domácí izolaci. </w:t>
      </w:r>
      <w:r>
        <w:rPr>
          <w:rFonts w:ascii="Arial" w:hAnsi="Arial" w:cs="Arial"/>
          <w:color w:val="201F1E"/>
          <w:bdr w:val="none" w:sz="0" w:space="0" w:color="auto" w:frame="1"/>
        </w:rPr>
        <w:t>Rady a doporučení pro domácí karanténu/izolaci viz: </w:t>
      </w:r>
      <w:hyperlink r:id="rId7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http://www.szu.cz/tema/prevence/rady-a-doporuceni-pro-domaci-karantenu</w:t>
        </w:r>
      </w:hyperlink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Žádanku na vyšetření pro Vaše dítě vystaví pediatr</w:t>
      </w:r>
      <w:r>
        <w:rPr>
          <w:rFonts w:ascii="Arial" w:hAnsi="Arial" w:cs="Arial"/>
          <w:color w:val="201F1E"/>
          <w:bdr w:val="none" w:sz="0" w:space="0" w:color="auto" w:frame="1"/>
        </w:rPr>
        <w:t> elektronicky (kontaktujte svého lékaře telefonicky), na odběrovém místě postačí mít u sebe kartu pojištěnce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. Odběr je</w:t>
      </w:r>
      <w:r>
        <w:rPr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jen jeden a je bezplatný.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Karanténa se týká pouze Vašeho dítěte, netýká se rodinných příslušníků.</w:t>
      </w:r>
      <w:r>
        <w:rPr>
          <w:rFonts w:ascii="Arial" w:hAnsi="Arial" w:cs="Arial"/>
          <w:color w:val="201F1E"/>
          <w:bdr w:val="none" w:sz="0" w:space="0" w:color="auto" w:frame="1"/>
        </w:rPr>
        <w:t> V případě, že by byla potvrzena pozitivita COVID-19 u Vašeho dítěte, budou ze strany Hygienické stanice hl. m. Prahy činěna další opatření u Vás.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Toto sdělení slouží k zajištění co nejrychlejšího předání informace zákonným zástupcům dětí</w:t>
      </w:r>
      <w:r>
        <w:rPr>
          <w:rFonts w:ascii="Arial" w:hAnsi="Arial" w:cs="Arial"/>
          <w:color w:val="1F497D"/>
          <w:bdr w:val="none" w:sz="0" w:space="0" w:color="auto" w:frame="1"/>
        </w:rPr>
        <w:t>,</w:t>
      </w:r>
      <w:r>
        <w:rPr>
          <w:rFonts w:ascii="Arial" w:hAnsi="Arial" w:cs="Arial"/>
          <w:color w:val="201F1E"/>
          <w:bdr w:val="none" w:sz="0" w:space="0" w:color="auto" w:frame="1"/>
        </w:rPr>
        <w:t> u kterých byl zjištěn rizikový kontakt s COVID-19 pozitivní osobou. Následně Vás bude telefonicky kontaktovat zástupce z týmu chytré karantény a ten s Vámi povede tel. rozhovor v rámci trasování kontaktů. Systém chytré karantény také automaticky generuje všem rizikovým kontaktům „</w:t>
      </w:r>
      <w:proofErr w:type="spellStart"/>
      <w:r>
        <w:rPr>
          <w:rFonts w:ascii="Arial" w:hAnsi="Arial" w:cs="Arial"/>
          <w:color w:val="201F1E"/>
          <w:bdr w:val="none" w:sz="0" w:space="0" w:color="auto" w:frame="1"/>
        </w:rPr>
        <w:t>sms</w:t>
      </w:r>
      <w:proofErr w:type="spellEnd"/>
      <w:r>
        <w:rPr>
          <w:rFonts w:ascii="Arial" w:hAnsi="Arial" w:cs="Arial"/>
          <w:color w:val="201F1E"/>
          <w:bdr w:val="none" w:sz="0" w:space="0" w:color="auto" w:frame="1"/>
        </w:rPr>
        <w:t>“ zprávu o tom, že se na ně vztahuje karanténa. V případě dětí je „</w:t>
      </w:r>
      <w:proofErr w:type="spellStart"/>
      <w:r>
        <w:rPr>
          <w:rFonts w:ascii="Arial" w:hAnsi="Arial" w:cs="Arial"/>
          <w:color w:val="201F1E"/>
          <w:bdr w:val="none" w:sz="0" w:space="0" w:color="auto" w:frame="1"/>
        </w:rPr>
        <w:t>sms</w:t>
      </w:r>
      <w:proofErr w:type="spellEnd"/>
      <w:r>
        <w:rPr>
          <w:rFonts w:ascii="Arial" w:hAnsi="Arial" w:cs="Arial"/>
          <w:color w:val="201F1E"/>
          <w:bdr w:val="none" w:sz="0" w:space="0" w:color="auto" w:frame="1"/>
        </w:rPr>
        <w:t>“ zpráva e-systémem odeslána na tel. číslo zákonného zástupce, tj. pro upřesnění uvádíme, že tato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zpráva se</w:t>
      </w:r>
      <w:r>
        <w:rPr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týká dítěte, nikoli zákonných zástupců</w:t>
      </w:r>
      <w:r>
        <w:rPr>
          <w:rFonts w:ascii="Arial" w:hAnsi="Arial" w:cs="Arial"/>
          <w:color w:val="201F1E"/>
          <w:bdr w:val="none" w:sz="0" w:space="0" w:color="auto" w:frame="1"/>
        </w:rPr>
        <w:t>. </w:t>
      </w: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Pro ně karanténa neplatí</w:t>
      </w:r>
      <w:r>
        <w:rPr>
          <w:rFonts w:ascii="Arial" w:hAnsi="Arial" w:cs="Arial"/>
          <w:color w:val="201F1E"/>
          <w:bdr w:val="none" w:sz="0" w:space="0" w:color="auto" w:frame="1"/>
        </w:rPr>
        <w:t>, platí výše uvedené.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 </w:t>
      </w:r>
    </w:p>
    <w:p w:rsidR="008636F4" w:rsidRDefault="008636F4" w:rsidP="008636F4">
      <w:pPr>
        <w:pStyle w:val="Normln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Hygienická stanice hl. m. Prahy není oprávněna vydávat ošetřovné. </w:t>
      </w:r>
      <w:r>
        <w:rPr>
          <w:rFonts w:ascii="Arial" w:hAnsi="Arial" w:cs="Arial"/>
          <w:color w:val="393939"/>
          <w:spacing w:val="9"/>
          <w:bdr w:val="none" w:sz="0" w:space="0" w:color="auto" w:frame="1"/>
          <w:shd w:val="clear" w:color="auto" w:fill="FFFFFF"/>
        </w:rPr>
        <w:t>O potřebě ošetřování či péče rozhoduje ošetřující lékař osoby, u které je dána potřeba ošetřování nebo péče, a to vystavením </w:t>
      </w:r>
      <w:r>
        <w:rPr>
          <w:rFonts w:ascii="Arial" w:hAnsi="Arial" w:cs="Arial"/>
          <w:b/>
          <w:bCs/>
          <w:i/>
          <w:iCs/>
          <w:color w:val="393939"/>
          <w:spacing w:val="9"/>
          <w:bdr w:val="none" w:sz="0" w:space="0" w:color="auto" w:frame="1"/>
          <w:shd w:val="clear" w:color="auto" w:fill="FFFFFF"/>
        </w:rPr>
        <w:t>Rozhodnutí o potřebě ošetřování (péče)</w:t>
      </w:r>
      <w:r>
        <w:rPr>
          <w:rFonts w:ascii="Arial" w:hAnsi="Arial" w:cs="Arial"/>
          <w:color w:val="393939"/>
          <w:spacing w:val="9"/>
          <w:bdr w:val="none" w:sz="0" w:space="0" w:color="auto" w:frame="1"/>
          <w:shd w:val="clear" w:color="auto" w:fill="FFFFFF"/>
        </w:rPr>
        <w:t> pro nemoc nebo nařízení karantény, </w:t>
      </w:r>
      <w:r>
        <w:rPr>
          <w:rFonts w:ascii="Arial" w:hAnsi="Arial" w:cs="Arial"/>
          <w:color w:val="201F1E"/>
          <w:bdr w:val="none" w:sz="0" w:space="0" w:color="auto" w:frame="1"/>
        </w:rPr>
        <w:t>viz. informace uvedené na webu České správy sociálního zabezpečení (</w:t>
      </w:r>
      <w:hyperlink r:id="rId8" w:tgtFrame="_blank" w:history="1">
        <w:r>
          <w:rPr>
            <w:rStyle w:val="Hypertextovodkaz"/>
            <w:rFonts w:ascii="Arial" w:hAnsi="Arial" w:cs="Arial"/>
            <w:bdr w:val="none" w:sz="0" w:space="0" w:color="auto" w:frame="1"/>
          </w:rPr>
          <w:t>https://www.cssz.cz/web/cz/-/osetrovne-po-zahajeni-noveho-skolniho-roku-se-standardne-ridi-zakonem-o-nemocenskem-pojisteni</w:t>
        </w:r>
      </w:hyperlink>
      <w:r>
        <w:rPr>
          <w:rFonts w:ascii="Arial" w:hAnsi="Arial" w:cs="Arial"/>
          <w:color w:val="201F1E"/>
          <w:bdr w:val="none" w:sz="0" w:space="0" w:color="auto" w:frame="1"/>
        </w:rPr>
        <w:t> ).</w:t>
      </w:r>
    </w:p>
    <w:p w:rsidR="00E84FB9" w:rsidRDefault="00E84FB9">
      <w:bookmarkStart w:id="0" w:name="_GoBack"/>
      <w:bookmarkEnd w:id="0"/>
    </w:p>
    <w:sectPr w:rsidR="00E8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4"/>
    <w:rsid w:val="008636F4"/>
    <w:rsid w:val="00E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D7279-861F-4FD6-8358-3DB750C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z.cz/web/cz/-/osetrovne-po-zahajeni-noveho-skolniho-roku-se-standardne-ridi-zakonem-o-nemocenskem-pojiste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u.cz/tema/prevence/rady-a-doporuceni-pro-domaci-karante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ovani.uzis.cz/" TargetMode="External"/><Relationship Id="rId5" Type="http://schemas.openxmlformats.org/officeDocument/2006/relationships/hyperlink" Target="https://www.mzcr.cz/wp-content/uploads/2021/06/Zmena-mimoradneho-opatreni-ze-dne-2-3-2021-k-narizeni-izolace-a-karanteny-s-ucinnosti-od-15-6-2021-do-odvolani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ronavirus.mzcr.cz/wp-content/uploads/2021/03/Mimo%C5%99%C3%A1dn%C3%A9-opat%C5%99en%C3%AD-%E2%80%93-na%C5%99%C3%ADzen%C3%AD-izolace-a-karant%C3%A9ny-s-%C3%BA%C4%8Dinnost%C3%AD-od-3.-3.-2021-do-odvol%C3%A1n%C3%AD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Alena Nídlová</dc:creator>
  <cp:keywords/>
  <dc:description/>
  <cp:lastModifiedBy>PaedDr. Alena Nídlová</cp:lastModifiedBy>
  <cp:revision>1</cp:revision>
  <dcterms:created xsi:type="dcterms:W3CDTF">2021-10-18T14:32:00Z</dcterms:created>
  <dcterms:modified xsi:type="dcterms:W3CDTF">2021-10-18T14:33:00Z</dcterms:modified>
</cp:coreProperties>
</file>